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B5" w:rsidRDefault="00997F9A">
      <w:pPr>
        <w:pStyle w:val="a7"/>
        <w:tabs>
          <w:tab w:val="clear" w:pos="4680"/>
          <w:tab w:val="center" w:pos="5670"/>
        </w:tabs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u w:val="single"/>
        </w:rPr>
        <w:t>Одобрен</w:t>
      </w:r>
    </w:p>
    <w:p w:rsidR="004463B5" w:rsidRDefault="00997F9A">
      <w:pPr>
        <w:pStyle w:val="a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Решением Совета глав АС РСС и КСИ </w:t>
      </w:r>
    </w:p>
    <w:p w:rsidR="004463B5" w:rsidRDefault="00997F9A">
      <w:pPr>
        <w:pStyle w:val="a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№53/24-16 от 9-10 октября 2018 г.</w:t>
      </w:r>
    </w:p>
    <w:p w:rsidR="004463B5" w:rsidRDefault="004463B5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</w:p>
    <w:p w:rsidR="004463B5" w:rsidRDefault="004463B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463B5" w:rsidRDefault="00997F9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МЕМОРАНДУМ</w:t>
      </w:r>
    </w:p>
    <w:p w:rsidR="004463B5" w:rsidRDefault="00997F9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ПРОТИВОДЕЙСТВИЯ ФРОДУ</w:t>
      </w:r>
    </w:p>
    <w:p w:rsidR="004463B5" w:rsidRDefault="00997F9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СЕТЯХ ЭЛЕКТРОСВЯЗИ</w:t>
      </w:r>
    </w:p>
    <w:p w:rsidR="004463B5" w:rsidRDefault="004463B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Операторы электросвязи и </w:t>
      </w:r>
      <w:proofErr w:type="spellStart"/>
      <w:r>
        <w:rPr>
          <w:rFonts w:ascii="Times New Roman" w:hAnsi="Times New Roman"/>
          <w:sz w:val="24"/>
          <w:szCs w:val="24"/>
        </w:rPr>
        <w:t>инфокоммуникаций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Регионального содружества в области связи (РСС), 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международный характер проблемы противодействия </w:t>
      </w:r>
      <w:proofErr w:type="spellStart"/>
      <w:r>
        <w:rPr>
          <w:rFonts w:ascii="Times New Roman" w:hAnsi="Times New Roman"/>
          <w:sz w:val="24"/>
          <w:szCs w:val="24"/>
        </w:rPr>
        <w:t>фроду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сетях электросвязи,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признавая важность сотрудничества по вопро</w:t>
      </w:r>
      <w:r>
        <w:rPr>
          <w:rFonts w:ascii="Times New Roman" w:hAnsi="Times New Roman"/>
          <w:sz w:val="24"/>
          <w:szCs w:val="24"/>
        </w:rPr>
        <w:t xml:space="preserve">сам противодействия </w:t>
      </w:r>
      <w:proofErr w:type="spellStart"/>
      <w:r>
        <w:rPr>
          <w:rFonts w:ascii="Times New Roman" w:hAnsi="Times New Roman"/>
          <w:sz w:val="24"/>
          <w:szCs w:val="24"/>
        </w:rPr>
        <w:t>фроду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заинтересованность каждого оператора электросвязи в создании эффективной системы, позволяющей ограничивать пропуск </w:t>
      </w:r>
      <w:proofErr w:type="spellStart"/>
      <w:r>
        <w:rPr>
          <w:rFonts w:ascii="Times New Roman" w:hAnsi="Times New Roman"/>
          <w:sz w:val="24"/>
          <w:szCs w:val="24"/>
        </w:rPr>
        <w:t>фродового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трафика по сетям электросвязи,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намереваясь расширить взаимодействие и обмен опытом в сфере прот</w:t>
      </w:r>
      <w:r>
        <w:rPr>
          <w:rFonts w:ascii="Times New Roman" w:hAnsi="Times New Roman"/>
          <w:sz w:val="24"/>
          <w:szCs w:val="24"/>
        </w:rPr>
        <w:t xml:space="preserve">иводействия </w:t>
      </w:r>
      <w:proofErr w:type="spellStart"/>
      <w:r>
        <w:rPr>
          <w:rFonts w:ascii="Times New Roman" w:hAnsi="Times New Roman"/>
          <w:sz w:val="24"/>
          <w:szCs w:val="24"/>
        </w:rPr>
        <w:t>фроду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понимая трудности обеспечения борьбы с </w:t>
      </w:r>
      <w:proofErr w:type="spellStart"/>
      <w:r>
        <w:rPr>
          <w:rFonts w:ascii="Times New Roman" w:hAnsi="Times New Roman"/>
          <w:sz w:val="24"/>
          <w:szCs w:val="24"/>
        </w:rPr>
        <w:t>фродом</w:t>
      </w:r>
      <w:proofErr w:type="spellEnd"/>
      <w:r>
        <w:rPr>
          <w:rFonts w:ascii="Times New Roman" w:hAnsi="Times New Roman"/>
          <w:sz w:val="24"/>
          <w:szCs w:val="24"/>
        </w:rPr>
        <w:t xml:space="preserve"> и, в этой связи, необходимость налаживания взаимовыгодного сотрудничества,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законодательством и нормативно-правовыми актами стран участников РСС,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согласились о нижеследующем:</w:t>
      </w:r>
    </w:p>
    <w:p w:rsidR="004463B5" w:rsidRDefault="004463B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63B5" w:rsidRDefault="00997F9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ведение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понятия, используемые в настоящем Меморандуме: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анкционированный трафик (мошеннический) – трафик, при котором вызов абонента, инициировавшего соединение, осуществляется с использованием неоригинальных (подмененных)  номеров А и/или пр</w:t>
      </w:r>
      <w:r>
        <w:rPr>
          <w:rFonts w:ascii="Times New Roman" w:hAnsi="Times New Roman"/>
          <w:sz w:val="24"/>
          <w:szCs w:val="24"/>
        </w:rPr>
        <w:t>опуск международного трафика под видом междугороднего или местного трафика, путем использования специальных технических средств и/или программного обеспечения, а также несанкционированного использования оборудования операторов связи и прочие методы, с цель</w:t>
      </w:r>
      <w:r>
        <w:rPr>
          <w:rFonts w:ascii="Times New Roman" w:hAnsi="Times New Roman"/>
          <w:sz w:val="24"/>
          <w:szCs w:val="24"/>
        </w:rPr>
        <w:t>ю обхода установленного законодательством порядка пропуска трафика, а также других действий, приводящих к нарушению прав третьих лиц, а также нарушению целостности, устойчивости функционирования и безопасности сети электросвязи.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при совершении вызова</w:t>
      </w:r>
      <w:r>
        <w:rPr>
          <w:rFonts w:ascii="Times New Roman" w:hAnsi="Times New Roman"/>
          <w:sz w:val="24"/>
          <w:szCs w:val="24"/>
        </w:rPr>
        <w:t xml:space="preserve"> абонентом одного государства на номер абонента в сети электросвязи другого государства вызов сопровождается абонентским номером местного оператора связи, такой вызов признаётся несанкционированным (мошенническим) или </w:t>
      </w:r>
      <w:proofErr w:type="spellStart"/>
      <w:r>
        <w:rPr>
          <w:rFonts w:ascii="Times New Roman" w:hAnsi="Times New Roman"/>
          <w:sz w:val="24"/>
          <w:szCs w:val="24"/>
        </w:rPr>
        <w:t>фродовым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63B5" w:rsidRDefault="00997F9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Номе</w:t>
      </w:r>
      <w:r>
        <w:rPr>
          <w:rFonts w:ascii="Times New Roman" w:hAnsi="Times New Roman"/>
          <w:sz w:val="24"/>
          <w:szCs w:val="24"/>
        </w:rPr>
        <w:t>р А (абонентский номе</w:t>
      </w:r>
      <w:r>
        <w:rPr>
          <w:rFonts w:ascii="Times New Roman" w:hAnsi="Times New Roman"/>
          <w:sz w:val="24"/>
          <w:szCs w:val="24"/>
        </w:rPr>
        <w:t>р абонента, инициировавшего вызов) – абонентский номер, присваиваемый оператором связи абоненту в соответствии с международными принципами формирования абонентских номеров, а также правилами построения системы и плана нумерации на сетях электросвязи, идент</w:t>
      </w:r>
      <w:r>
        <w:rPr>
          <w:rFonts w:ascii="Times New Roman" w:hAnsi="Times New Roman"/>
          <w:sz w:val="24"/>
          <w:szCs w:val="24"/>
        </w:rPr>
        <w:t xml:space="preserve">ифицирующий оконечное устройство, подключенное к сети оператора связи, в процессе установления соединений, в целях его однозначной идентификации и </w:t>
      </w:r>
      <w:r>
        <w:rPr>
          <w:rFonts w:ascii="Times New Roman" w:hAnsi="Times New Roman"/>
          <w:color w:val="000000" w:themeColor="text1"/>
          <w:sz w:val="24"/>
          <w:szCs w:val="24"/>
        </w:rPr>
        <w:t>обеспечения установленного законодательством порядка пропуска трафика.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развитие информационно-тел</w:t>
      </w:r>
      <w:r>
        <w:rPr>
          <w:rFonts w:ascii="Times New Roman" w:hAnsi="Times New Roman"/>
          <w:sz w:val="24"/>
          <w:szCs w:val="24"/>
        </w:rPr>
        <w:t>екоммуникационных технологий, связанное с предоставлением новых видов услуг связи и созданием цифровой экономики, сопровождается таким негативным явлением на сетях электросвязи как мошенничество (</w:t>
      </w:r>
      <w:proofErr w:type="spellStart"/>
      <w:r>
        <w:rPr>
          <w:rFonts w:ascii="Times New Roman" w:hAnsi="Times New Roman"/>
          <w:sz w:val="24"/>
          <w:szCs w:val="24"/>
        </w:rPr>
        <w:t>фрод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основном </w:t>
      </w:r>
      <w:proofErr w:type="spellStart"/>
      <w:r>
        <w:rPr>
          <w:rFonts w:ascii="Times New Roman" w:hAnsi="Times New Roman"/>
          <w:sz w:val="24"/>
          <w:szCs w:val="24"/>
        </w:rPr>
        <w:t>фрод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проявляется в действиях, связанных с имитацией вызовов, подавлением (подменой или непредставлением) передачи через государственные границы информации о номере вызывающего абонента/</w:t>
      </w:r>
      <w:r>
        <w:rPr>
          <w:rFonts w:ascii="Times New Roman" w:hAnsi="Times New Roman"/>
          <w:sz w:val="24"/>
          <w:szCs w:val="24"/>
          <w:lang w:val="en-US"/>
        </w:rPr>
        <w:t>IP</w:t>
      </w:r>
      <w:r>
        <w:rPr>
          <w:rFonts w:ascii="Times New Roman" w:hAnsi="Times New Roman"/>
          <w:sz w:val="24"/>
          <w:szCs w:val="24"/>
        </w:rPr>
        <w:t>-адреса, идентификации линии вызывающего абонента и идентификации происхо</w:t>
      </w:r>
      <w:r>
        <w:rPr>
          <w:rFonts w:ascii="Times New Roman" w:hAnsi="Times New Roman"/>
          <w:sz w:val="24"/>
          <w:szCs w:val="24"/>
        </w:rPr>
        <w:t>ждения вызова, в частности кода страны и национального (значащего) телефонного номера.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выделить следующие виды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>, распространенные на сетях электросвязи (сеть связи общего пользования, в том числе сеть передачи данных) региона: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 пропуск трафика </w:t>
      </w:r>
      <w:r>
        <w:rPr>
          <w:rFonts w:ascii="Times New Roman" w:hAnsi="Times New Roman"/>
          <w:sz w:val="24"/>
          <w:szCs w:val="24"/>
        </w:rPr>
        <w:t xml:space="preserve">через шлюзы на фиксированных сетях или </w:t>
      </w:r>
      <w:r>
        <w:rPr>
          <w:rFonts w:ascii="Times New Roman" w:hAnsi="Times New Roman"/>
          <w:sz w:val="24"/>
          <w:szCs w:val="24"/>
          <w:lang w:val="en-US"/>
        </w:rPr>
        <w:t>Sim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box</w:t>
      </w:r>
      <w:r>
        <w:rPr>
          <w:rFonts w:ascii="Times New Roman" w:hAnsi="Times New Roman"/>
          <w:sz w:val="24"/>
          <w:szCs w:val="24"/>
        </w:rPr>
        <w:t>, подключенные к сети подвижной радиотелефонной связи, с подменой номера абонента, инициировавшего соединение;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пропуск третьим лицом трафика путем получения несанкционированного доступа к коммутационному обор</w:t>
      </w:r>
      <w:r>
        <w:rPr>
          <w:rFonts w:ascii="Times New Roman" w:hAnsi="Times New Roman"/>
          <w:sz w:val="24"/>
          <w:szCs w:val="24"/>
        </w:rPr>
        <w:t>удованию оператора связи, либо к абонентскому оборудованию (в том числе, корпоративных клиентов), что обеспечивает третьему лицу возможность бесплатного пропуска трафика за счет оператора электросвязи или абонента;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искусственная генерация трафика под вид</w:t>
      </w:r>
      <w:r>
        <w:rPr>
          <w:rFonts w:ascii="Times New Roman" w:hAnsi="Times New Roman"/>
          <w:sz w:val="24"/>
          <w:szCs w:val="24"/>
        </w:rPr>
        <w:t xml:space="preserve">ом абонентского трафика с сети другого оператора электросвязи на свою сеть с целью получения оплаты в рамках </w:t>
      </w:r>
      <w:proofErr w:type="spellStart"/>
      <w:r>
        <w:rPr>
          <w:rFonts w:ascii="Times New Roman" w:hAnsi="Times New Roman"/>
          <w:sz w:val="24"/>
          <w:szCs w:val="24"/>
        </w:rPr>
        <w:t>межоператорских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взаиморасчетов. 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Указанный перечень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не является исчерпывающим. 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Основные причины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463B5" w:rsidRDefault="00997F9A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экономической</w:t>
      </w:r>
      <w:r>
        <w:rPr>
          <w:rFonts w:ascii="Times New Roman" w:hAnsi="Times New Roman"/>
          <w:sz w:val="24"/>
          <w:szCs w:val="24"/>
        </w:rPr>
        <w:t xml:space="preserve"> выгоды из-за существующей разницы в цене завершения вызова у разных операторов (в том числе в разных странах), а также в связи с разницей в цене в зависимости от уровня завершения вызова;</w:t>
      </w:r>
    </w:p>
    <w:p w:rsidR="004463B5" w:rsidRDefault="00997F9A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недостаточная защищенность средств связи от несанкционированного до</w:t>
      </w:r>
      <w:r>
        <w:rPr>
          <w:rFonts w:ascii="Times New Roman" w:hAnsi="Times New Roman"/>
          <w:sz w:val="24"/>
          <w:szCs w:val="24"/>
        </w:rPr>
        <w:t>ступа третьих лиц;</w:t>
      </w:r>
    </w:p>
    <w:p w:rsidR="004463B5" w:rsidRDefault="00997F9A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подходы к регулированию порядка пропуска трафика по сетям электросвязи, а также порядка взаимодействия сетей передачи данных и телефонных сетей связи, в том числе отсутствие услуги международного завершения  вызова, обязанности пе</w:t>
      </w:r>
      <w:r>
        <w:rPr>
          <w:rFonts w:ascii="Times New Roman" w:hAnsi="Times New Roman"/>
          <w:sz w:val="24"/>
          <w:szCs w:val="24"/>
        </w:rPr>
        <w:t xml:space="preserve">редавать номер вызывающего абонента  (истинный номер А). 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искажают конкуренцию на рынке, причиняют экономический ущерб операторам электросвязи, вследствие чего снижаются налоговые отчисления в бюджет государства, ухудшается качество оказывае</w:t>
      </w:r>
      <w:r>
        <w:rPr>
          <w:rFonts w:ascii="Times New Roman" w:hAnsi="Times New Roman"/>
          <w:sz w:val="24"/>
          <w:szCs w:val="24"/>
        </w:rPr>
        <w:t>мых услуг электросвязи.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 может быть причинен реальный материальный ущерб неправомерными действиями третьих лиц (например, коллекторами). Зачастую, такие вызовы совершаются за счет абонентов. Кроме того, абоненты не имеют возможности совершить встр</w:t>
      </w:r>
      <w:r>
        <w:rPr>
          <w:rFonts w:ascii="Times New Roman" w:hAnsi="Times New Roman"/>
          <w:sz w:val="24"/>
          <w:szCs w:val="24"/>
        </w:rPr>
        <w:t xml:space="preserve">ечный звонок (обратный вызов) и проверить достоверность полученной информации. 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препятствует обеспечению безопасности общества и государства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правоохранительными органами, поскольку невозможно получить достоверную информацию о пользователях ус</w:t>
      </w:r>
      <w:r>
        <w:rPr>
          <w:rFonts w:ascii="Times New Roman" w:hAnsi="Times New Roman"/>
          <w:sz w:val="24"/>
          <w:szCs w:val="24"/>
        </w:rPr>
        <w:t>лугами электросвязи, месте их нахождения, а также исполнению операторами связи обязанности по предоставлению субъектам оперативно-розыскной деятельности достоверной информации о пользовательском номере, с которого инициирован вызов.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РСС считают н</w:t>
      </w:r>
      <w:r>
        <w:rPr>
          <w:rFonts w:ascii="Times New Roman" w:hAnsi="Times New Roman"/>
          <w:sz w:val="24"/>
          <w:szCs w:val="24"/>
        </w:rPr>
        <w:t xml:space="preserve">еприемлемым наличие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сетях электросвязи и будут прилагать максимальные усилия к минимизации указанного явления.</w:t>
      </w:r>
    </w:p>
    <w:p w:rsidR="004463B5" w:rsidRDefault="00997F9A">
      <w:pPr>
        <w:pStyle w:val="enumlev1"/>
        <w:spacing w:before="0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Настоящий Меморандум по вопросу противодействия </w:t>
      </w:r>
      <w:proofErr w:type="spellStart"/>
      <w:r>
        <w:rPr>
          <w:sz w:val="24"/>
          <w:szCs w:val="24"/>
          <w:lang w:val="ru-RU"/>
        </w:rPr>
        <w:t>фроду</w:t>
      </w:r>
      <w:proofErr w:type="spellEnd"/>
      <w:r>
        <w:rPr>
          <w:sz w:val="24"/>
          <w:szCs w:val="24"/>
          <w:lang w:val="ru-RU"/>
        </w:rPr>
        <w:t xml:space="preserve"> на сетях электросвязи (далее – Меморандум) базируется на общих подходах, выработан</w:t>
      </w:r>
      <w:r>
        <w:rPr>
          <w:sz w:val="24"/>
          <w:szCs w:val="24"/>
          <w:lang w:val="ru-RU"/>
        </w:rPr>
        <w:t>ных в ходе подготовки к крупным международным мероприятиям в рамках Международного союза электросвязи (МСЭ) по данному вопросу, положениях Регламента международной электросвязи, соответствующих актов МСЭ (в частности: Резолюция 61 Всемирной ассамблеи по ст</w:t>
      </w:r>
      <w:r>
        <w:rPr>
          <w:sz w:val="24"/>
          <w:szCs w:val="24"/>
          <w:lang w:val="ru-RU"/>
        </w:rPr>
        <w:t xml:space="preserve">андартизации электросвязи (ВАСЭ) «О неправомерном присвоении и использовании ресурсов нумерации международной электросвязи»; Резолюция </w:t>
      </w:r>
      <w:r>
        <w:rPr>
          <w:rStyle w:val="href"/>
          <w:sz w:val="24"/>
          <w:szCs w:val="24"/>
          <w:lang w:val="ru-RU"/>
        </w:rPr>
        <w:t xml:space="preserve">65 </w:t>
      </w:r>
      <w:r>
        <w:rPr>
          <w:sz w:val="24"/>
          <w:szCs w:val="24"/>
          <w:lang w:val="ru-RU"/>
        </w:rPr>
        <w:t>ВАСЭ «Информация о доставке номера вызывающего абонента, идентификации линии вызывающего абонента и идентификации прои</w:t>
      </w:r>
      <w:r>
        <w:rPr>
          <w:sz w:val="24"/>
          <w:szCs w:val="24"/>
          <w:lang w:val="ru-RU"/>
        </w:rPr>
        <w:t xml:space="preserve">схождения вызова»; Резолюция 29 ВАСЭ «Об альтернативных процедурах вызова в сетях международной электросвязи»; Рекомендации МСЭ-Т) и других международных организаций (в том числе </w:t>
      </w:r>
      <w:r>
        <w:rPr>
          <w:sz w:val="24"/>
          <w:szCs w:val="24"/>
          <w:lang w:val="en-US"/>
        </w:rPr>
        <w:t>GSMA</w:t>
      </w:r>
      <w:r>
        <w:rPr>
          <w:sz w:val="24"/>
          <w:szCs w:val="24"/>
          <w:lang w:val="ru-RU"/>
        </w:rPr>
        <w:t>), а также законодательства стран Администраций связи РСС.</w:t>
      </w:r>
    </w:p>
    <w:p w:rsidR="004463B5" w:rsidRDefault="004463B5">
      <w:pPr>
        <w:jc w:val="both"/>
        <w:rPr>
          <w:rFonts w:ascii="Times New Roman" w:hAnsi="Times New Roman"/>
          <w:b/>
          <w:sz w:val="24"/>
          <w:szCs w:val="24"/>
        </w:rPr>
      </w:pPr>
    </w:p>
    <w:p w:rsidR="004463B5" w:rsidRDefault="00997F9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принятия</w:t>
      </w:r>
      <w:r>
        <w:rPr>
          <w:rFonts w:ascii="Times New Roman" w:hAnsi="Times New Roman"/>
          <w:b/>
          <w:sz w:val="24"/>
          <w:szCs w:val="24"/>
        </w:rPr>
        <w:t xml:space="preserve"> Меморандума: </w:t>
      </w:r>
    </w:p>
    <w:p w:rsidR="004463B5" w:rsidRDefault="00997F9A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в регионе единых условий для устойчивого функционирования и эффективного развития рынка услуг международной электросвязи в интересах конечных потребителей стран-участниц РСС. </w:t>
      </w:r>
    </w:p>
    <w:p w:rsidR="004463B5" w:rsidRDefault="00997F9A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и развитие инноваций на рынках услуг электросв</w:t>
      </w:r>
      <w:r>
        <w:rPr>
          <w:rFonts w:ascii="Times New Roman" w:hAnsi="Times New Roman"/>
          <w:sz w:val="24"/>
          <w:szCs w:val="24"/>
        </w:rPr>
        <w:t>язи.</w:t>
      </w:r>
    </w:p>
    <w:p w:rsidR="004463B5" w:rsidRDefault="00997F9A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противодействия </w:t>
      </w:r>
      <w:proofErr w:type="spellStart"/>
      <w:r>
        <w:rPr>
          <w:rFonts w:ascii="Times New Roman" w:hAnsi="Times New Roman"/>
          <w:sz w:val="24"/>
          <w:szCs w:val="24"/>
        </w:rPr>
        <w:t>фроду</w:t>
      </w:r>
      <w:proofErr w:type="spellEnd"/>
      <w:r>
        <w:rPr>
          <w:rFonts w:ascii="Times New Roman" w:hAnsi="Times New Roman"/>
          <w:sz w:val="24"/>
          <w:szCs w:val="24"/>
        </w:rPr>
        <w:t xml:space="preserve"> путем принятия нормативно-правовых актов, базирующихся в том числе на положениях соответствующих резолюций и рекомендаций МСЭ, предусматривающих инструменты снижения экономических стимулов для распространения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 xml:space="preserve">, механизмы выявления и предотвращения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сетях электросвязи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стран-участниц РСС.</w:t>
      </w:r>
    </w:p>
    <w:p w:rsidR="004463B5" w:rsidRDefault="00997F9A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Координация усилий и обмен положительным опытом по используемым механизмам предотвращения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63B5" w:rsidRDefault="00997F9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положения 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Присоединяясь к настоящему Меморандуму, заинтересованные стороны выражают готовность к принятию на территории своих государств нормативно-правовых актов по предотвращению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сетях электросвязи, предусматривающих: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упрощение регулирования пропуска тр</w:t>
      </w:r>
      <w:r>
        <w:rPr>
          <w:rFonts w:ascii="Times New Roman" w:hAnsi="Times New Roman"/>
          <w:sz w:val="24"/>
          <w:szCs w:val="24"/>
        </w:rPr>
        <w:t>афика по сетям электросвязи, содействующее инновациям;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обязанность операторов электросвязи  по доставке без изменения информации о номере абонента (номера А), инициировавшего установление телефонного соединения, до абонента, которому указанное соединение</w:t>
      </w:r>
      <w:r>
        <w:rPr>
          <w:rFonts w:ascii="Times New Roman" w:hAnsi="Times New Roman"/>
          <w:sz w:val="24"/>
          <w:szCs w:val="24"/>
        </w:rPr>
        <w:t xml:space="preserve"> адресовано, включая международные соединения с введением соответствующего контроля;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способы выявления, в том числе с использованием сертифицированного оборудования, несанкционированного трафика, содержащего </w:t>
      </w:r>
      <w:proofErr w:type="spellStart"/>
      <w:r>
        <w:rPr>
          <w:rFonts w:ascii="Times New Roman" w:hAnsi="Times New Roman"/>
          <w:sz w:val="24"/>
          <w:szCs w:val="24"/>
        </w:rPr>
        <w:t>фродовые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 вызовы;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возможность ограничения пропуска трафика, содержащего признаки </w:t>
      </w:r>
      <w:proofErr w:type="spellStart"/>
      <w:r>
        <w:rPr>
          <w:rFonts w:ascii="Times New Roman" w:hAnsi="Times New Roman"/>
          <w:sz w:val="24"/>
          <w:szCs w:val="24"/>
        </w:rPr>
        <w:t>фрода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(в случае выявления);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операторы связи должны применять на своих сетях </w:t>
      </w:r>
      <w:proofErr w:type="spellStart"/>
      <w:r>
        <w:rPr>
          <w:rFonts w:ascii="Times New Roman" w:hAnsi="Times New Roman"/>
          <w:sz w:val="24"/>
          <w:szCs w:val="24"/>
        </w:rPr>
        <w:t>антифродовые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системы, соответствующие требованиям для использования на сети электросвязи, в целях  выявления неса</w:t>
      </w:r>
      <w:r>
        <w:rPr>
          <w:rFonts w:ascii="Times New Roman" w:hAnsi="Times New Roman"/>
          <w:sz w:val="24"/>
          <w:szCs w:val="24"/>
        </w:rPr>
        <w:t>нкционированного трафика и его блокирования;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установление порядка выделения (присвоения), идентификации и </w:t>
      </w:r>
      <w:proofErr w:type="gramStart"/>
      <w:r>
        <w:rPr>
          <w:rFonts w:ascii="Times New Roman" w:hAnsi="Times New Roman"/>
          <w:sz w:val="24"/>
          <w:szCs w:val="24"/>
        </w:rPr>
        <w:t>передачи  номера</w:t>
      </w:r>
      <w:proofErr w:type="gramEnd"/>
      <w:r>
        <w:rPr>
          <w:rFonts w:ascii="Times New Roman" w:hAnsi="Times New Roman"/>
          <w:sz w:val="24"/>
          <w:szCs w:val="24"/>
        </w:rPr>
        <w:t xml:space="preserve"> вызывающего абонента с осуществлением соответствующего контроля за соблюдением операторами связи установленных обязанностей, в том </w:t>
      </w:r>
      <w:r>
        <w:rPr>
          <w:rFonts w:ascii="Times New Roman" w:hAnsi="Times New Roman"/>
          <w:sz w:val="24"/>
          <w:szCs w:val="24"/>
        </w:rPr>
        <w:t>числе в рамках одной сети электросвязи.</w:t>
      </w:r>
    </w:p>
    <w:p w:rsidR="004463B5" w:rsidRDefault="004463B5">
      <w:pPr>
        <w:keepNext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63B5" w:rsidRDefault="00997F9A">
      <w:pPr>
        <w:keepNext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463B5" w:rsidRDefault="00997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Меморандум открыт для присоединения к нему любой заинтересованной стороны.</w:t>
      </w:r>
    </w:p>
    <w:sectPr w:rsidR="00446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9A" w:rsidRDefault="00997F9A">
      <w:r>
        <w:separator/>
      </w:r>
    </w:p>
  </w:endnote>
  <w:endnote w:type="continuationSeparator" w:id="0">
    <w:p w:rsidR="00997F9A" w:rsidRDefault="009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66" w:rsidRDefault="005C18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66" w:rsidRDefault="005C18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66" w:rsidRDefault="005C18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9A" w:rsidRDefault="00997F9A">
      <w:r>
        <w:separator/>
      </w:r>
    </w:p>
  </w:footnote>
  <w:footnote w:type="continuationSeparator" w:id="0">
    <w:p w:rsidR="00997F9A" w:rsidRDefault="009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66" w:rsidRDefault="005C18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B5" w:rsidRDefault="004463B5">
    <w:pPr>
      <w:pStyle w:val="a7"/>
      <w:jc w:val="right"/>
      <w:rPr>
        <w:rFonts w:ascii="Times New Roman" w:hAnsi="Times New Roman"/>
        <w:i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66" w:rsidRDefault="005C18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7A55"/>
    <w:multiLevelType w:val="hybridMultilevel"/>
    <w:tmpl w:val="33640DD4"/>
    <w:lvl w:ilvl="0" w:tplc="BE206A94">
      <w:numFmt w:val="bullet"/>
      <w:lvlText w:val="·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E809FE"/>
    <w:multiLevelType w:val="hybridMultilevel"/>
    <w:tmpl w:val="09BE1698"/>
    <w:lvl w:ilvl="0" w:tplc="4920CB7A">
      <w:start w:val="1"/>
      <w:numFmt w:val="decimal"/>
      <w:lvlText w:val="%1."/>
      <w:lvlJc w:val="left"/>
      <w:pPr>
        <w:ind w:left="1005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EB71E3"/>
    <w:multiLevelType w:val="hybridMultilevel"/>
    <w:tmpl w:val="B48CDFF6"/>
    <w:lvl w:ilvl="0" w:tplc="994A4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B84C95"/>
    <w:multiLevelType w:val="hybridMultilevel"/>
    <w:tmpl w:val="5DE2FD98"/>
    <w:lvl w:ilvl="0" w:tplc="994A4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1B26E3"/>
    <w:multiLevelType w:val="hybridMultilevel"/>
    <w:tmpl w:val="1FC4E4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B5"/>
    <w:rsid w:val="004463B5"/>
    <w:rsid w:val="005C1866"/>
    <w:rsid w:val="009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54AA-1557-4200-8524-0546CA1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enumlev1">
    <w:name w:val="enumlev1"/>
    <w:basedOn w:val="a"/>
    <w:link w:val="enumlev1Char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a0"/>
    <w:link w:val="enumlev1"/>
    <w:rPr>
      <w:rFonts w:ascii="Times New Roman" w:eastAsia="Times New Roman" w:hAnsi="Times New Roman"/>
      <w:sz w:val="22"/>
      <w:lang w:val="en-GB" w:eastAsia="en-US"/>
    </w:rPr>
  </w:style>
  <w:style w:type="character" w:customStyle="1" w:styleId="href">
    <w:name w:val="href"/>
    <w:basedOn w:val="a0"/>
    <w:rPr>
      <w:sz w:val="26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Theme="minorHAnsi" w:eastAsiaTheme="minorEastAsia" w:hAnsiTheme="minorHAnsi"/>
      <w:sz w:val="22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2912-F978-4AC5-A8ED-FE25C774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cp:lastPrinted>2018-02-22T11:47:00Z</cp:lastPrinted>
  <dcterms:created xsi:type="dcterms:W3CDTF">2021-12-28T08:38:00Z</dcterms:created>
  <dcterms:modified xsi:type="dcterms:W3CDTF">2021-12-28T08:38:00Z</dcterms:modified>
</cp:coreProperties>
</file>